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Crypto Tax &amp; Cost Basis</w:t>
      </w:r>
    </w:p>
    <w:p>
      <w:pPr>
        <w:pStyle w:val="Subtitle"/>
      </w:pPr>
      <w:r>
        <w:t>A practical tracking workbook for purchases, sales, conversions and day-trade losses.</w:t>
      </w:r>
    </w:p>
    <w:p>
      <w:r>
        <w:t>Built for Crown and Ledger public downloads. The blank template contains no personal financial data. The example uses fictional assets and prices.</w:t>
      </w:r>
    </w:p>
    <w:p>
      <w:pPr>
        <w:pStyle w:val="Heading1"/>
      </w:pPr>
      <w:r>
        <w:t>Your three numbers</w:t>
      </w:r>
    </w:p>
    <w:p>
      <w:r>
        <w:t>Cost basis shows what you invested in the units disposed of. Realized profit or loss compares their net sale proceeds with that basis. Net capital gain or loss is the capital-tax input after the workbook’s disposals are combined. These last two numbers often match for ordinary investment trades; the labels do not imply two different taxes.</w:t>
      </w:r>
    </w:p>
    <w:p>
      <w:r>
        <w:t>Losses are red and remain negative. Unrealized price declines on coins still held do not create a realized loss. Receipt income from rewards or staking is separate from later capital gains or losses. Final tax requires the rest of your return.</w:t>
      </w:r>
    </w:p>
    <w:p>
      <w:pPr>
        <w:pStyle w:val="Heading1"/>
      </w:pPr>
      <w:r>
        <w:t>Choose how to use it</w:t>
      </w:r>
    </w:p>
    <w:p>
      <w:pPr>
        <w:pStyle w:val="Heading2"/>
      </w:pPr>
      <w:r>
        <w:t>Excel only</w:t>
      </w:r>
    </w:p>
    <w:p>
      <w:r>
        <w:t>Open Manual_Calculator. Enter one row per documented lot allocation, actual Excel acquisition/sale dates, units, per-unit basis, gross proceeds, allocated sale fee and any reviewed Form 8949 adjustment. Formula columns calculate basis, net proceeds, gain/loss and short/long term. Manual_Summary updates immediately. This route does not automatically match lots, preserve transfers or update the main dashboard; you supply the allocations and keep a complete lot register.</w:t>
      </w:r>
    </w:p>
    <w:p>
      <w:pPr>
        <w:pStyle w:val="Heading2"/>
      </w:pPr>
      <w:r>
        <w:t>Automatic lot matching</w:t>
      </w:r>
    </w:p>
    <w:p>
      <w:r>
        <w:t>Install Python and the dependencies in START-HERE.txt once. Add transactions to Events or import a normalized CSV. Save and close the workbook, then run Rebuild.bat or the command shown in START-HERE. Open the new workbook in the output folder. It calculates lots and generates CSV workpapers. Rebuild after every Events edit; Excel alone does not execute the Python processor.</w:t>
      </w:r>
    </w:p>
    <w:p>
      <w:r>
        <w:t>Rebuild reads only Events and Settings. It regenerates every other sheet. Preserve manual calculations, checklist answers and broker reconciliation in a separate saved copy so they are not lost. Do not work from an older snapshot after changing your transaction records.</w:t>
      </w:r>
    </w:p>
    <w:p>
      <w:pPr>
        <w:pStyle w:val="Heading1"/>
        <w:pageBreakBefore/>
      </w:pPr>
      <w:r>
        <w:t>The worked loss chain</w:t>
      </w:r>
    </w:p>
    <w:p>
      <w:r>
        <w:t>All values below are fictional. This is included in the example folder so you can inspect each event and lot.</w:t>
      </w:r>
    </w:p>
    <w:tbl>
      <w:tblPr>
        <w:tblStyle w:val="LightShading-Accent1"/>
        <w:tblW w:type="auto" w:w="0"/>
        <w:tblLook w:firstColumn="1" w:firstRow="1" w:lastColumn="0" w:lastRow="0" w:noHBand="0" w:noVBand="1" w:val="04A0"/>
      </w:tblPr>
      <w:tblGrid>
        <w:gridCol w:w="2045"/>
        <w:gridCol w:w="2045"/>
        <w:gridCol w:w="2045"/>
        <w:gridCol w:w="2045"/>
        <w:gridCol w:w="2045"/>
      </w:tblGrid>
      <w:tr>
        <w:trPr>
          <w:cantSplit/>
          <w:tblHeader/>
        </w:trPr>
        <w:tc>
          <w:tcPr>
            <w:tcW w:type="dxa" w:w="2045"/>
          </w:tcPr>
          <w:p>
            <w:r>
              <w:t>Action</w:t>
            </w:r>
          </w:p>
        </w:tc>
        <w:tc>
          <w:tcPr>
            <w:tcW w:type="dxa" w:w="2045"/>
          </w:tcPr>
          <w:p>
            <w:r>
              <w:t>Net proceeds</w:t>
            </w:r>
          </w:p>
        </w:tc>
        <w:tc>
          <w:tcPr>
            <w:tcW w:type="dxa" w:w="2045"/>
          </w:tcPr>
          <w:p>
            <w:r>
              <w:t>Basis disposed</w:t>
            </w:r>
          </w:p>
        </w:tc>
        <w:tc>
          <w:tcPr>
            <w:tcW w:type="dxa" w:w="2045"/>
          </w:tcPr>
          <w:p>
            <w:r>
              <w:t>Realized result</w:t>
            </w:r>
          </w:p>
        </w:tc>
        <w:tc>
          <w:tcPr>
            <w:tcW w:type="dxa" w:w="2045"/>
          </w:tcPr>
          <w:p>
            <w:r>
              <w:t>New basis</w:t>
            </w:r>
          </w:p>
        </w:tc>
      </w:tr>
      <w:tr>
        <w:trPr>
          <w:cantSplit/>
        </w:trPr>
        <w:tc>
          <w:tcPr>
            <w:tcW w:type="dxa" w:w="2045"/>
          </w:tcPr>
          <w:p>
            <w:r>
              <w:t>Buy 100 ALPHA for $1,000 + $10 fee</w:t>
            </w:r>
          </w:p>
        </w:tc>
        <w:tc>
          <w:tcPr>
            <w:tcW w:type="dxa" w:w="2045"/>
          </w:tcPr>
          <w:p>
            <w:r>
              <w:t>—</w:t>
            </w:r>
          </w:p>
        </w:tc>
        <w:tc>
          <w:tcPr>
            <w:tcW w:type="dxa" w:w="2045"/>
          </w:tcPr>
          <w:p>
            <w:r>
              <w:t>—</w:t>
            </w:r>
          </w:p>
        </w:tc>
        <w:tc>
          <w:tcPr>
            <w:tcW w:type="dxa" w:w="2045"/>
          </w:tcPr>
          <w:p>
            <w:r>
              <w:t>—</w:t>
            </w:r>
          </w:p>
        </w:tc>
        <w:tc>
          <w:tcPr>
            <w:tcW w:type="dxa" w:w="2045"/>
          </w:tcPr>
          <w:p>
            <w:r>
              <w:t>$1,010 ALPHA</w:t>
            </w:r>
          </w:p>
        </w:tc>
      </w:tr>
      <w:tr>
        <w:trPr>
          <w:cantSplit/>
        </w:trPr>
        <w:tc>
          <w:tcPr>
            <w:tcW w:type="dxa" w:w="2045"/>
          </w:tcPr>
          <w:p>
            <w:r>
              <w:t>Sell 50 ALPHA for $400 − $5 fee</w:t>
            </w:r>
          </w:p>
        </w:tc>
        <w:tc>
          <w:tcPr>
            <w:tcW w:type="dxa" w:w="2045"/>
          </w:tcPr>
          <w:p>
            <w:r>
              <w:t>$395</w:t>
            </w:r>
          </w:p>
        </w:tc>
        <w:tc>
          <w:tcPr>
            <w:tcW w:type="dxa" w:w="2045"/>
          </w:tcPr>
          <w:p>
            <w:r>
              <w:t>$505</w:t>
            </w:r>
          </w:p>
        </w:tc>
        <w:tc>
          <w:tcPr>
            <w:tcW w:type="dxa" w:w="2045"/>
          </w:tcPr>
          <w:p>
            <w:r>
              <w:t>−$110</w:t>
            </w:r>
          </w:p>
        </w:tc>
        <w:tc>
          <w:tcPr>
            <w:tcW w:type="dxa" w:w="2045"/>
          </w:tcPr>
          <w:p>
            <w:r>
              <w:t>—</w:t>
            </w:r>
          </w:p>
        </w:tc>
      </w:tr>
      <w:tr>
        <w:trPr>
          <w:cantSplit/>
        </w:trPr>
        <w:tc>
          <w:tcPr>
            <w:tcW w:type="dxa" w:w="2045"/>
          </w:tcPr>
          <w:p>
            <w:r>
              <w:t>Swap 50 ALPHA into 40 BETA worth $300; $3 cash fee</w:t>
            </w:r>
          </w:p>
        </w:tc>
        <w:tc>
          <w:tcPr>
            <w:tcW w:type="dxa" w:w="2045"/>
          </w:tcPr>
          <w:p>
            <w:r>
              <w:t>$297</w:t>
            </w:r>
          </w:p>
        </w:tc>
        <w:tc>
          <w:tcPr>
            <w:tcW w:type="dxa" w:w="2045"/>
          </w:tcPr>
          <w:p>
            <w:r>
              <w:t>$505</w:t>
            </w:r>
          </w:p>
        </w:tc>
        <w:tc>
          <w:tcPr>
            <w:tcW w:type="dxa" w:w="2045"/>
          </w:tcPr>
          <w:p>
            <w:r>
              <w:t>−$208</w:t>
            </w:r>
          </w:p>
        </w:tc>
        <w:tc>
          <w:tcPr>
            <w:tcW w:type="dxa" w:w="2045"/>
          </w:tcPr>
          <w:p>
            <w:r>
              <w:t>$300 BETA</w:t>
            </w:r>
          </w:p>
        </w:tc>
      </w:tr>
      <w:tr>
        <w:trPr>
          <w:cantSplit/>
        </w:trPr>
        <w:tc>
          <w:tcPr>
            <w:tcW w:type="dxa" w:w="2045"/>
          </w:tcPr>
          <w:p>
            <w:r>
              <w:t>Swap 20 BETA into GAMMA worth $120; $2 cash fee</w:t>
            </w:r>
          </w:p>
        </w:tc>
        <w:tc>
          <w:tcPr>
            <w:tcW w:type="dxa" w:w="2045"/>
          </w:tcPr>
          <w:p>
            <w:r>
              <w:t>$118</w:t>
            </w:r>
          </w:p>
        </w:tc>
        <w:tc>
          <w:tcPr>
            <w:tcW w:type="dxa" w:w="2045"/>
          </w:tcPr>
          <w:p>
            <w:r>
              <w:t>$150</w:t>
            </w:r>
          </w:p>
        </w:tc>
        <w:tc>
          <w:tcPr>
            <w:tcW w:type="dxa" w:w="2045"/>
          </w:tcPr>
          <w:p>
            <w:r>
              <w:t>−$32</w:t>
            </w:r>
          </w:p>
        </w:tc>
        <w:tc>
          <w:tcPr>
            <w:tcW w:type="dxa" w:w="2045"/>
          </w:tcPr>
          <w:p>
            <w:r>
              <w:t>$120 GAMMA</w:t>
            </w:r>
          </w:p>
        </w:tc>
      </w:tr>
      <w:tr>
        <w:trPr>
          <w:cantSplit/>
        </w:trPr>
        <w:tc>
          <w:tcPr>
            <w:tcW w:type="dxa" w:w="2045"/>
          </w:tcPr>
          <w:p>
            <w:r>
              <w:t>Swap 20 BETA into DELTA worth $160; $1 cash fee</w:t>
            </w:r>
          </w:p>
        </w:tc>
        <w:tc>
          <w:tcPr>
            <w:tcW w:type="dxa" w:w="2045"/>
          </w:tcPr>
          <w:p>
            <w:r>
              <w:t>$159</w:t>
            </w:r>
          </w:p>
        </w:tc>
        <w:tc>
          <w:tcPr>
            <w:tcW w:type="dxa" w:w="2045"/>
          </w:tcPr>
          <w:p>
            <w:r>
              <w:t>$150</w:t>
            </w:r>
          </w:p>
        </w:tc>
        <w:tc>
          <w:tcPr>
            <w:tcW w:type="dxa" w:w="2045"/>
          </w:tcPr>
          <w:p>
            <w:r>
              <w:t>+$9</w:t>
            </w:r>
          </w:p>
        </w:tc>
        <w:tc>
          <w:tcPr>
            <w:tcW w:type="dxa" w:w="2045"/>
          </w:tcPr>
          <w:p>
            <w:r>
              <w:t>$160 DELTA</w:t>
            </w:r>
          </w:p>
        </w:tc>
      </w:tr>
    </w:tbl>
    <w:p>
      <w:r>
        <w:t>Result: $341 net short-term capital loss. Two tokens remain with $280 total basis. The $395 from the cash sale does not become a new taxable amount simply because you buy other tokens with it. Each later disposal has its own result; a chain ID groups the history without postponing tax.</w:t>
      </w:r>
    </w:p>
    <w:p>
      <w:pPr>
        <w:pStyle w:val="Heading1"/>
      </w:pPr>
      <w:r>
        <w:t>Fees: prevent double counting</w:t>
      </w:r>
    </w:p>
    <w:p>
      <w:r>
        <w:t>Use Field_Guide for the precise column conventions. Acquisition fees increase cash-purchase basis. Disposition fees reduce proceeds. In a token swap, fees are assigned to the disposal; the received asset starts with its acquisition fair market value. Record actual execution values and already-embedded spread once, rather than deducting a quoted spread again.</w:t>
      </w:r>
    </w:p>
    <w:p>
      <w:r>
        <w:t>EXTRA: quantities exclude the extra crypto fee. The processor removes fee tokens separately and computes their gain/loss at the service’s USD value. OUT_WITHHELD: total outgoing units already include the fee; the processor includes the service value in gross proceeds and avoids a second disposal. IN_WITHHELD: a swap acquires gross incoming units and then disposes of withheld units from that new lot. These cases were checked against the federal regulation examples. Other fee cascades require review.</w:t>
      </w:r>
    </w:p>
    <w:p>
      <w:r>
        <w:t>For your own-wallet TRANSFER, qty_out is the amount actually delivered. Any fee quantity is extra. Dates and allocated basis follow the transferred lot. Transfer costs are not treated as purchase/sale transaction costs here; the fee-token payment can still have a taxable result. The workbook tracks cash transfer fees but does not deduct or capitalize them.</w:t>
      </w:r>
    </w:p>
    <w:p>
      <w:pPr>
        <w:pStyle w:val="Heading1"/>
      </w:pPr>
      <w:r>
        <w:t>Lots, dates and account identity</w:t>
      </w:r>
    </w:p>
    <w:p>
      <w:r>
        <w:t>FIFO is applied within the source account and token. A Coinbase asset subwallet is not automatically a separate tax account; use the same account/portfolio identifier for assets in the same custodial account. Separate legal owners need separate files. Self-custody wallets need distinct account names. Never use a token balance in one wallet to supply basis for a sale in another.</w:t>
      </w:r>
    </w:p>
    <w:p>
      <w:r>
        <w:t>SPECIFIC supports supplied lot quantities and an evidence reference. It does not create a retroactive identification. Confirm broker/wallet timing requirements. Fee-token lots default to FIFO separately; incoming swap withholding is tied to the newly acquired lot. Transfers create fragment IDs while retaining the original acquisition date and origin lot.</w:t>
      </w:r>
    </w:p>
    <w:p>
      <w:r>
        <w:t>Long term requires more than one year, measured by calendar dates rather than a fixed 365-day shortcut. The Lots sheet shows the first long-term sale date. Settings timezone controls tax-year and holding-date boundaries. The input supports UTC offsets; dates without offsets use the selected timezone.</w:t>
      </w:r>
    </w:p>
    <w:p>
      <w:pPr>
        <w:pStyle w:val="Heading1"/>
      </w:pPr>
      <w:r>
        <w:t>Imports and API options</w:t>
      </w:r>
    </w:p>
    <w:p>
      <w:r>
        <w:t>Standard Coinbase CSV imports normalize recognized USD purchases, sales and receipt income. Conversions, sends, receives, unfamiliar rows and incomplete fee data require review. Review the receipt rather than assuming that every receive is income or every send is a sale. A paired conversion or transfer should become one economic event; do not import both legs as duplicate taxable trades.</w:t>
      </w:r>
    </w:p>
    <w:p>
      <w:r>
        <w:t>A configurable JSON column map works with other CSV layouts. It maps fields rather than guessing values, classification or historical prices. Keep the raw export unchanged and retain its source-row reference. There is no automatic historical valuation or blockchain discovery service.</w:t>
      </w:r>
    </w:p>
    <w:p>
      <w:r>
        <w:t>Optional local collectors fetch raw Coinbase OAuth history or Gemini history using read permissions. Coinbase Advanced Trade USD asset-side fills and Gemini USD spot trades have adapters. Other records stay in review. Credentials belong in environment variables and are never placed in Excel. Coinbase OAuth provisioning is external; Gemini history needs the documented Auditor/master scope. Gemini history begins after August 1, 2022. The collectors were tested with mocked responses, not an authenticated customer account.</w:t>
      </w:r>
    </w:p>
    <w:p>
      <w:r>
        <w:t>The NY_Exchanges sheet lists practical NY-regulated retail providers and available import/API routes. Live collectors are included only for Coinbase and Gemini. Bitstamp, bitFlyer, Robinhood and other providers use mapped exports/manual input in this release. License status, onboarding, individual tokens and products must be checked separately.</w:t>
      </w:r>
    </w:p>
    <w:p>
      <w:pPr>
        <w:pStyle w:val="Heading1"/>
      </w:pPr>
      <w:r>
        <w:t>Updating the master record</w:t>
      </w:r>
    </w:p>
    <w:p>
      <w:r>
        <w:t>Add all new reviewed Events rows to your master workbook, or merge normalized CSVs with the merge command. Imports do not silently combine with a prior file. Exact matching IDs can be deduplicated; conflicting IDs block the merge. Different export IDs for the same economic trade still require your review.</w:t>
      </w:r>
    </w:p>
    <w:p>
      <w:r>
        <w:t>REVIEW or invalid inputs stop all generated calculations. A blocked workbook is incomplete, not a zero-gain report. Correct the Review issue, then rebuild. Missing account balances indicate missing history, fees, transfers or classification; do not solve them by entering an invented zero-basis lot.</w:t>
      </w:r>
    </w:p>
    <w:p>
      <w:r>
        <w:t>The template has 500 preformatted Events rows and rebuild expands its monitoring range. The engine reads additional rows, but the existing dashboard’s edit warning cannot detect rows beyond its monitored range. Always rebuild after additions. For very precise inputs, use CSV; Excel has its standard significant-digit limits, while the processor uses Decimal arithmetic and retains decimal strings in CSV audit output.</w:t>
      </w:r>
    </w:p>
    <w:p>
      <w:pPr>
        <w:pStyle w:val="Heading1"/>
      </w:pPr>
      <w:r>
        <w:t>Tax netting and New York</w:t>
      </w:r>
    </w:p>
    <w:p>
      <w:r>
        <w:t>Capital losses first offset capital gains. The $3,000 limit ($1,500 if married filing separately) generally limits the remaining net loss deducted against other income, rather than the amount of trading losses you may record. Enter other investment gains/losses and prior-year short/long carryovers in Settings. Tax_Summary shows a potential deduction ceiling and indicative excess; complete the official Schedule D carryover worksheet, especially if taxable income is low.</w:t>
      </w:r>
    </w:p>
    <w:p>
      <w:r>
        <w:t>Rate fields start at zero. Enter your own assumed federal short-term, federal long-term, NY and optional local marginal rates for a rough positive-capital-gain estimate. This does not calculate brackets, credits, NIIT, wages or self-employment taxes, or the tax benefit of a loss. It does not promise your actual amount due.</w:t>
      </w:r>
    </w:p>
    <w:p>
      <w:r>
        <w:t>New York treats convertible cryptocurrency as property for income-tax purposes. Use federal gains/income in the applicable state return with required state modifications. Buying crypto itself is not a NY sales-taxable purchase of tangible property; paying for taxable goods or services can still create sales/use-tax obligations. A business accepting crypto must handle its sales-tax duties separately.</w:t>
      </w:r>
    </w:p>
    <w:p>
      <w:r>
        <w:t>NY_Checklist covers resident-return review, part-year/nonresident/local issues, estimated payments, original records and statement reconciliation. In 2026, review estimated payments when expected tax after withholding and credits reaches $300 for the relevant NY jurisdiction. The state lists current-year and prior-year safe harbors, including a higher prior-year percentage for high-income taxpayers. Use its current instructions for your situation.</w:t>
      </w:r>
    </w:p>
    <w:p>
      <w:pPr>
        <w:pStyle w:val="Heading1"/>
      </w:pPr>
      <w:r>
        <w:t>Before filing</w:t>
      </w:r>
    </w:p>
    <w:p>
      <w:pPr>
        <w:pStyle w:val="ListBullet"/>
      </w:pPr>
      <w:r>
        <w:t>Compare Lots with all wallet/exchange balances at the same cutoff. Reconcile unmatched transfers, rewards and fee quantities.</w:t>
      </w:r>
    </w:p>
    <w:p>
      <w:pPr>
        <w:pStyle w:val="ListBullet"/>
      </w:pPr>
      <w:r>
        <w:t>Reconcile 1099-DA/1099-B proceeds and basis. Covered basis reporting generally starts with eligible acquired digital assets from January 1, 2026; transferred or older assets may not carry reported basis.</w:t>
      </w:r>
    </w:p>
    <w:p>
      <w:pPr>
        <w:pStyle w:val="ListBullet"/>
      </w:pPr>
      <w:r>
        <w:t>Use Form-8949-Workpaper.csv as an allocation workpaper. Broker reporting categories, adjustment codes and statement proceeds conventions require review. It is not an electronic filing file or official IRS form.</w:t>
      </w:r>
    </w:p>
    <w:p>
      <w:pPr>
        <w:pStyle w:val="ListBullet"/>
      </w:pPr>
      <w:r>
        <w:t>Complete Schedule D and the carryover worksheet; route rewards, wages or business receipts correctly. Retain basis evidence, original files, hashes, timestamps and records through later disposals and required retention periods.</w:t>
      </w:r>
    </w:p>
    <w:p>
      <w:pPr>
        <w:pStyle w:val="ListBullet"/>
      </w:pPr>
      <w:r>
        <w:t>Use the final 2026 federal and NY filing instructions when released. The resident instructions reviewed for this release are 2025; neither the 2025 tables nor a guessed 2026 table is hardcoded as final tax.</w:t>
      </w:r>
    </w:p>
    <w:p>
      <w:pPr>
        <w:pStyle w:val="Heading1"/>
      </w:pPr>
      <w:r>
        <w:t>Scope and public distribution</w:t>
      </w:r>
    </w:p>
    <w:p>
      <w:r>
        <w:t>This release supports individual investment spot transactions and NY tax review. It cannot certify every NY requirement or prepare a complete return. Separate treatment is needed for derivatives/section 1256, margin liquidations, entity taxes, gifts, inheritances, charities, complex DeFi, bridges/wrapping, NFTs, tokenized securities and theft/lost assets. Frequent day trading does not by itself create trader tax status or a mark-to-market election.</w:t>
      </w:r>
    </w:p>
    <w:p>
      <w:r>
        <w:t>Publish the blank kit and fictional example on Crown and Ledger. Keep populated files, raw exports and keys private. Calculations run locally; API collectors contact the selected exchange. No macros, trading orders, transfers, recurring jobs or hidden automatic sync are included.</w:t>
      </w:r>
    </w:p>
    <w:p>
      <w:pPr>
        <w:pStyle w:val="Heading1"/>
      </w:pPr>
      <w:r>
        <w:t>Suggested download-page copy</w:t>
      </w:r>
    </w:p>
    <w:p>
      <w:r>
        <w:t>Crown and Ledger Crypto Tracker — Track your purchases, sales, conversions and realized losses with clear cost-basis records. Download the Excel workbook and guide, use the spreadsheet-only manual calculator, or use the optional local processor for account-level lot matching and CSV workpapers. Includes a New York exchange directory and tax-review checklist. Educational recordkeeping support; not personalized financial advice or a ready-to-file tax return.</w:t>
      </w:r>
    </w:p>
    <w:p>
      <w:pPr>
        <w:pStyle w:val="Heading1"/>
      </w:pPr>
      <w:r>
        <w:t>Official references</w:t>
      </w:r>
    </w:p>
    <w:p>
      <w:r>
        <w:t>Reviewed October 5, 2026. Links are also available in the workbook Sources sheet.</w:t>
      </w:r>
    </w:p>
    <w:p>
      <w:r>
        <w:t>IRS digital-asset FAQs — Holding periods, wallet-level identification, transfers</w:t>
      </w:r>
    </w:p>
    <w:p>
      <w:pPr>
        <w:pStyle w:val="Caption"/>
      </w:pPr>
      <w:r>
        <w:rPr>
          <w:color w:val="155999"/>
        </w:rPr>
        <w:t>https://www.irs.gov/individuals/international-taxpayers/frequently-asked-questions-on-digital-asset-transactions</w:t>
      </w:r>
    </w:p>
    <w:p>
      <w:r>
        <w:t>26 CFR 1.1001-7 — Disposition costs and crypto fee examples</w:t>
      </w:r>
    </w:p>
    <w:p>
      <w:pPr>
        <w:pStyle w:val="Caption"/>
      </w:pPr>
      <w:r>
        <w:rPr>
          <w:color w:val="155999"/>
        </w:rPr>
        <w:t>https://www.ecfr.gov/current/title-26/section-1.1001-7</w:t>
      </w:r>
    </w:p>
    <w:p>
      <w:r>
        <w:t>26 CFR 1.1012-1 — Acquisition basis and withheld units</w:t>
      </w:r>
    </w:p>
    <w:p>
      <w:pPr>
        <w:pStyle w:val="Caption"/>
      </w:pPr>
      <w:r>
        <w:rPr>
          <w:color w:val="155999"/>
        </w:rPr>
        <w:t>https://www.ecfr.gov/current/title-26/section-1.1012-1</w:t>
      </w:r>
    </w:p>
    <w:p>
      <w:r>
        <w:t>IRS capital gains/losses — Netting, deduction limits and carryovers</w:t>
      </w:r>
    </w:p>
    <w:p>
      <w:pPr>
        <w:pStyle w:val="Caption"/>
      </w:pPr>
      <w:r>
        <w:rPr>
          <w:color w:val="155999"/>
        </w:rPr>
        <w:t>https://www.irs.gov/taxtopics/tc409</w:t>
      </w:r>
    </w:p>
    <w:p>
      <w:r>
        <w:t>IRS Schedule D instructions — Final netting and carryover worksheet</w:t>
      </w:r>
    </w:p>
    <w:p>
      <w:pPr>
        <w:pStyle w:val="Caption"/>
      </w:pPr>
      <w:r>
        <w:rPr>
          <w:color w:val="155999"/>
        </w:rPr>
        <w:t>https://www.irs.gov/instructions/i1040sd</w:t>
      </w:r>
    </w:p>
    <w:p>
      <w:r>
        <w:t>IRS Form 8949 instructions — Reporting categories and adjustments</w:t>
      </w:r>
    </w:p>
    <w:p>
      <w:pPr>
        <w:pStyle w:val="Caption"/>
      </w:pPr>
      <w:r>
        <w:rPr>
          <w:color w:val="155999"/>
        </w:rPr>
        <w:t>https://www.irs.gov/instructions/i8949</w:t>
      </w:r>
    </w:p>
    <w:p>
      <w:r>
        <w:t>IRS 1099-DA instructions 2026 — Broker basis reporting and covered assets</w:t>
      </w:r>
    </w:p>
    <w:p>
      <w:pPr>
        <w:pStyle w:val="Caption"/>
      </w:pPr>
      <w:r>
        <w:rPr>
          <w:color w:val="155999"/>
        </w:rPr>
        <w:t>https://www.irs.gov/instructions/i1099da</w:t>
      </w:r>
    </w:p>
    <w:p>
      <w:r>
        <w:t>NY crypto memorandum — NY property treatment; sales/use tax context</w:t>
      </w:r>
    </w:p>
    <w:p>
      <w:pPr>
        <w:pStyle w:val="Caption"/>
      </w:pPr>
      <w:r>
        <w:rPr>
          <w:color w:val="155999"/>
        </w:rPr>
        <w:t>https://www.tax.ny.gov/pdf/memos/multitax/m14_5c_7i_17s.pdf</w:t>
      </w:r>
    </w:p>
    <w:p>
      <w:r>
        <w:t>NY resident return instructions — Latest reviewed final resident instructions; refresh for 2026</w:t>
      </w:r>
    </w:p>
    <w:p>
      <w:pPr>
        <w:pStyle w:val="Caption"/>
      </w:pPr>
      <w:r>
        <w:rPr>
          <w:color w:val="155999"/>
        </w:rPr>
        <w:t>https://www.tax.ny.gov/forms/html-instructions/2025/it/it201i-2025.htm</w:t>
      </w:r>
    </w:p>
    <w:p>
      <w:r>
        <w:t>NY estimated tax — 2026 estimated payment thresholds and safe harbors</w:t>
      </w:r>
    </w:p>
    <w:p>
      <w:pPr>
        <w:pStyle w:val="Caption"/>
      </w:pPr>
      <w:r>
        <w:rPr>
          <w:color w:val="155999"/>
        </w:rPr>
        <w:t>https://www.tax.ny.gov/pit/estimated_tax/who_must_make.htm</w:t>
      </w:r>
    </w:p>
    <w:p>
      <w:r>
        <w:t>NYDFS registry — License does not guarantee every token/product</w:t>
      </w:r>
    </w:p>
    <w:p>
      <w:pPr>
        <w:pStyle w:val="Caption"/>
      </w:pPr>
      <w:r>
        <w:rPr>
          <w:color w:val="155999"/>
        </w:rPr>
        <w:t>https://www.dfs.ny.gov/virtual_currency_businesses</w:t>
      </w:r>
    </w:p>
    <w:p>
      <w:r>
        <w:t>Coinbase transactions API — Read scopes and transaction types</w:t>
      </w:r>
    </w:p>
    <w:p>
      <w:pPr>
        <w:pStyle w:val="Caption"/>
      </w:pPr>
      <w:r>
        <w:rPr>
          <w:color w:val="155999"/>
        </w:rPr>
        <w:t>https://docs.cdp.coinbase.com/coinbase-app/track-apis/transactions</w:t>
      </w:r>
    </w:p>
    <w:p>
      <w:r>
        <w:t>Gemini history API — Auditor/master history and pagination</w:t>
      </w:r>
    </w:p>
    <w:p>
      <w:pPr>
        <w:pStyle w:val="Caption"/>
      </w:pPr>
      <w:r>
        <w:rPr>
          <w:color w:val="155999"/>
        </w:rPr>
        <w:t>https://developer.gemini.com/rest/fund-management</w:t>
      </w:r>
    </w:p>
    <w:p>
      <w:r>
        <w:t>Bitstamp API — Private history endpoints</w:t>
      </w:r>
    </w:p>
    <w:p>
      <w:pPr>
        <w:pStyle w:val="Caption"/>
      </w:pPr>
      <w:r>
        <w:rPr>
          <w:color w:val="155999"/>
        </w:rPr>
        <w:t>https://www.bitstamp.net/api/</w:t>
      </w:r>
    </w:p>
    <w:p>
      <w:r>
        <w:t>Robinhood API — US crypto API availability</w:t>
      </w:r>
    </w:p>
    <w:p>
      <w:pPr>
        <w:pStyle w:val="Caption"/>
      </w:pPr>
      <w:r>
        <w:rPr>
          <w:color w:val="155999"/>
        </w:rPr>
        <w:t>https://robinhood.com/us/en/newsroom/robinhood-crypto-trading-api/</w:t>
      </w:r>
    </w:p>
    <w:p>
      <w:r>
        <w:t>bitFlyer US — NY license disclosure</w:t>
      </w:r>
    </w:p>
    <w:p>
      <w:pPr>
        <w:pStyle w:val="Caption"/>
      </w:pPr>
      <w:r>
        <w:rPr>
          <w:color w:val="155999"/>
        </w:rPr>
        <w:t>https://bitflyer.com/en-us/</w:t>
      </w:r>
    </w:p>
    <w:sectPr w:rsidR="00FC693F" w:rsidRPr="0006063C" w:rsidSect="00034616">
      <w:headerReference w:type="default" r:id="rId9"/>
      <w:footerReference w:type="default" r:id="rId10"/>
      <w:pgSz w:w="12240" w:h="15840"/>
      <w:pgMar w:top="936"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Crypto Tax &amp; Cost Basis Kit v1.0  •  Reviewed October 5,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B99443"/>
      </w:rPr>
      <w:t>CROWN AND LEDGER  |  LEARN. BUILD. STEWARD. MULTIPLY.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outlineLvl w:val="0"/>
    </w:pPr>
    <w:rPr>
      <w:rFonts w:asciiTheme="majorHAnsi" w:eastAsiaTheme="majorEastAsia" w:hAnsiTheme="majorHAnsi" w:cstheme="majorBidi" w:ascii="Calibri" w:hAnsi="Calibri"/>
      <w:b/>
      <w:bCs/>
      <w:color w:val="102338"/>
      <w:sz w:val="28"/>
      <w:szCs w:val="28"/>
    </w:rPr>
  </w:style>
  <w:style w:type="paragraph" w:styleId="Heading2">
    <w:name w:val="heading 2"/>
    <w:basedOn w:val="Normal"/>
    <w:next w:val="Normal"/>
    <w:link w:val="Heading2Char"/>
    <w:uiPriority w:val="9"/>
    <w:unhideWhenUsed/>
    <w:qFormat/>
    <w:rsid w:val="00FC693F"/>
    <w:pPr>
      <w:keepNext/>
      <w:keepLines/>
      <w:spacing w:before="240" w:after="0"/>
      <w:outlineLvl w:val="1"/>
    </w:pPr>
    <w:rPr>
      <w:rFonts w:asciiTheme="majorHAnsi" w:eastAsiaTheme="majorEastAsia" w:hAnsiTheme="majorHAnsi" w:cstheme="majorBidi" w:ascii="Calibri" w:hAnsi="Calibri"/>
      <w:b/>
      <w:bCs/>
      <w:color w:val="10233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before="240"/>
      <w:contextualSpacing/>
    </w:pPr>
    <w:rPr>
      <w:rFonts w:asciiTheme="majorHAnsi" w:eastAsiaTheme="majorEastAsia" w:hAnsiTheme="majorHAnsi" w:cstheme="majorBidi" w:ascii="Calibri" w:hAnsi="Calibri"/>
      <w:color w:val="10233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